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Roboto" w:cs="Roboto" w:eastAsia="Roboto" w:hAnsi="Roboto"/>
          <w:b w:val="1"/>
          <w:color w:val="ff0000"/>
          <w:sz w:val="25"/>
          <w:szCs w:val="25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55"/>
          <w:szCs w:val="55"/>
          <w:rtl w:val="0"/>
        </w:rPr>
        <w:t xml:space="preserve"> Nyttjanderättsavtal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7"/>
          <w:szCs w:val="27"/>
          <w:rtl w:val="0"/>
        </w:rPr>
        <w:t xml:space="preserve">Fastigheten/tomträtten som upplåter nyttjanderätten: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7"/>
          <w:szCs w:val="27"/>
          <w:rtl w:val="0"/>
        </w:rPr>
        <w:t xml:space="preserve">Upplåtande fastighetsägare/tomträttsinnehavare: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7"/>
          <w:szCs w:val="27"/>
          <w:rtl w:val="0"/>
        </w:rPr>
        <w:t xml:space="preserve">Nyttjanderättshavare: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rPr>
          <w:rFonts w:ascii="Roboto" w:cs="Roboto" w:eastAsia="Roboto" w:hAnsi="Roboto"/>
          <w:i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Roboto" w:cs="Roboto" w:eastAsia="Roboto" w:hAnsi="Roboto"/>
          <w:b w:val="1"/>
          <w:color w:val="212529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7"/>
          <w:szCs w:val="27"/>
          <w:rtl w:val="0"/>
        </w:rPr>
        <w:t xml:space="preserve">Ändamål: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7"/>
                <w:szCs w:val="27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212529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rPr>
          <w:rFonts w:ascii="Roboto" w:cs="Roboto" w:eastAsia="Roboto" w:hAnsi="Roboto"/>
          <w:i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Roboto" w:cs="Roboto" w:eastAsia="Roboto" w:hAnsi="Roboto"/>
          <w:i w:val="1"/>
          <w:color w:val="21252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7"/>
          <w:szCs w:val="27"/>
          <w:rtl w:val="0"/>
        </w:rPr>
        <w:t xml:space="preserve">Övrigt: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Underskrifter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Upplåtande fastighetsägare/tomträttsinnehavare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Upplåtande fastighetsägare/tomträttsinnehavare__________________________________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Namnförtydligande_________________________________________________________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Upplåtande fastighetsägare/tomträttsinnehavare__________________________________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Namnförtydligande_________________________________________________________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Nyttjanderättshavare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Nyttjanderättshavare_______________________________________________________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Namnförtydligande_________________________________________________________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Nyttjanderättshavare_______________________________________________________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Namnförtydligande_________________________________________________________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Detta avtal är upprättat i tre likadana exemplar varav parterna har fått varsitt.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-342899</wp:posOffset>
          </wp:positionV>
          <wp:extent cx="2177888" cy="71261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7888" cy="7126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4095750</wp:posOffset>
          </wp:positionH>
          <wp:positionV relativeFrom="paragraph">
            <wp:posOffset>-342899</wp:posOffset>
          </wp:positionV>
          <wp:extent cx="2177888" cy="71261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7888" cy="7126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